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України «Про запобігання корупції» зобов’язано </w:t>
      </w:r>
      <w:r w:rsidRPr="00F0344F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суб'єктів декларування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повідомляти </w:t>
      </w:r>
      <w:r w:rsidRPr="00F0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Національне агентство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запобігання корупції про суттєві зміни у майновому стані (сит 52 Закону).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 суттєвою зміною у майновому стані суб'єкта декларування розуміється отримання ним одноразового доходу, придбання майна або здійснення одноразового видатку на суму, яка перевищує 50 прожиткових мінімумів, встановлених для працездатних осіб на 01 січня року, у якому подається повідомлення 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(з 01 січня 2020 року – 105 </w:t>
      </w:r>
      <w:r w:rsidR="00F04A24" w:rsidRPr="00F04A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bookmarkStart w:id="0" w:name="_GoBack"/>
      <w:bookmarkEnd w:id="0"/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00 грн.)</w:t>
      </w:r>
    </w:p>
    <w:p w:rsid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З 1 січня 2020 року обов’язок повідомляти про такі покладаються лише на суб’єктів декларування, які є службовими особами, які займають відповідальне та особливо відповідальне становище, а також суб’єктів декларування, які займають посади, пов’язані з високим рівнем корупційних ризиків. 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Повідомити про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такі зміни </w:t>
      </w: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 декларування має  у десятиденний строк з моменту отримання доходу, придбання майна або здійснення видатку.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самоврядування, та оприлюднюється на офіційному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агентства.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кожного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придбання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  <w:proofErr w:type="spellStart"/>
      <w:proofErr w:type="gram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подається</w:t>
      </w:r>
      <w:proofErr w:type="spellEnd"/>
      <w:proofErr w:type="gram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окреме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майновому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суб’єкта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декларування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звернути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перевищує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50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прожиткових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мінімумів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встановлених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працездатних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01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але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сплачена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майновому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подається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переходу права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таке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дохід, що був нарахований, але не сплачений (не отриманий), не повідомляється.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44F">
        <w:rPr>
          <w:rFonts w:ascii="Times New Roman" w:hAnsi="Times New Roman" w:cs="Times New Roman"/>
          <w:sz w:val="28"/>
          <w:szCs w:val="28"/>
        </w:rPr>
        <w:t>Для кожного випадку отримання доходу, придбання майна або здійснення видатку подається окреме повідомлення.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придбання суб'єктом декларування майна, подається одне повідомлення, в якому зазначаються відомості у відповідних розділах щодо придбаного майна та здійсненого видатку.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суб'єкт декларування отримав дохід 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негрошовій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формі (спадщина, подарунок тощо), подається одне повідомлення, в якому зазначаються відомості у відповідних розділах щодо отриманого доходу 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негрошовій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формі та щодо отриманого майна.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вартість майна, що було набуте у власність суб'єктом декларування, йому не відома, повідомлення не подається.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отримання доходу, придбання майна або здійснення видатку членом сім'ї суб'єкта декларування не повідомляється.</w:t>
      </w:r>
    </w:p>
    <w:p w:rsidR="00F0344F" w:rsidRPr="00F0344F" w:rsidRDefault="00F0344F" w:rsidP="00F034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Інформація, яка зазначається в повідомлені про суттєві зміни у майновому стані, має бути також відображена також суб'єктом декларування в </w:t>
      </w:r>
      <w:hyperlink r:id="rId5" w:tgtFrame="_top" w:history="1">
        <w:r w:rsidRPr="00F0344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декларації особи, уповноваженої на виконання функцій держави або місцевого самоврядування</w:t>
        </w:r>
      </w:hyperlink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яку він  подає відповідно до </w:t>
      </w:r>
      <w:hyperlink r:id="rId6" w:tgtFrame="_top" w:history="1">
        <w:r w:rsidRPr="00F0344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</w:t>
        </w:r>
      </w:hyperlink>
      <w:r w:rsidRPr="00F0344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3EC9" w:rsidRDefault="00F0344F" w:rsidP="00F0344F">
      <w:pPr>
        <w:shd w:val="clear" w:color="auto" w:fill="FFFFFF"/>
        <w:spacing w:after="0" w:line="240" w:lineRule="auto"/>
        <w:ind w:firstLine="567"/>
        <w:jc w:val="both"/>
      </w:pP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Виправлені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повідомлення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суттєві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зміни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майновому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стані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декларування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Реє</w:t>
      </w:r>
      <w:proofErr w:type="gram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стру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не</w:t>
      </w:r>
      <w:proofErr w:type="gram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подаються</w:t>
      </w:r>
      <w:proofErr w:type="spellEnd"/>
      <w:r w:rsidRPr="00F034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sectPr w:rsidR="00073EC9" w:rsidSect="00F034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1"/>
    <w:rsid w:val="00073EC9"/>
    <w:rsid w:val="00A62861"/>
    <w:rsid w:val="00F0344F"/>
    <w:rsid w:val="00F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F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4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4F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44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0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5810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7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47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2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8491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4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7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3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4_1700.html" TargetMode="External"/><Relationship Id="rId5" Type="http://schemas.openxmlformats.org/officeDocument/2006/relationships/hyperlink" Target="http://search.ligazakon.ua/l_doc2.nsf/link1/RE290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2020-01-22T13:22:00Z</cp:lastPrinted>
  <dcterms:created xsi:type="dcterms:W3CDTF">2020-01-22T13:17:00Z</dcterms:created>
  <dcterms:modified xsi:type="dcterms:W3CDTF">2020-01-30T14:58:00Z</dcterms:modified>
</cp:coreProperties>
</file>